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0F" w:rsidRPr="00B8550F" w:rsidRDefault="00B8550F" w:rsidP="007428E5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B8550F">
        <w:rPr>
          <w:rFonts w:ascii="Traditional Arabic" w:hAnsi="Traditional Arabic" w:cs="Traditional Arabic"/>
          <w:b/>
          <w:bCs/>
          <w:sz w:val="32"/>
          <w:szCs w:val="32"/>
          <w:rtl/>
        </w:rPr>
        <w:t>الردة عن الإسلام تكون ب</w:t>
      </w:r>
      <w:r w:rsidRPr="00B8550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خمس</w:t>
      </w:r>
      <w:r w:rsidRPr="00B8550F">
        <w:rPr>
          <w:rFonts w:ascii="Traditional Arabic" w:hAnsi="Traditional Arabic" w:cs="Traditional Arabic"/>
          <w:b/>
          <w:bCs/>
          <w:sz w:val="32"/>
          <w:szCs w:val="32"/>
          <w:rtl/>
        </w:rPr>
        <w:t>ة أشياء: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B8550F">
        <w:rPr>
          <w:rFonts w:ascii="Traditional Arabic" w:hAnsi="Traditional Arabic" w:cs="Traditional Arabic"/>
          <w:sz w:val="32"/>
          <w:szCs w:val="32"/>
          <w:rtl/>
        </w:rPr>
        <w:t>بالاعتقاد أو الشك أو القول أو الفعل أو ترك الفعل، سواء كان ذلك اعتقادا أو عنادا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مع التصديق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أو استهزاء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ولعبا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8550F" w:rsidRDefault="00B8550F" w:rsidP="00A8241E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7428E5">
        <w:rPr>
          <w:rFonts w:ascii="Traditional Arabic" w:hAnsi="Traditional Arabic" w:cs="Traditional Arabic"/>
          <w:b/>
          <w:bCs/>
          <w:sz w:val="32"/>
          <w:szCs w:val="32"/>
          <w:rtl/>
        </w:rPr>
        <w:t>مثال الردة بالاعتقاد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أن ينكر وجود الخالق أو يعتقد كذب القرآن أو يُكذ</w:t>
      </w:r>
      <w:r>
        <w:rPr>
          <w:rFonts w:ascii="Traditional Arabic" w:hAnsi="Traditional Arabic" w:cs="Traditional Arabic" w:hint="cs"/>
          <w:sz w:val="32"/>
          <w:szCs w:val="32"/>
          <w:rtl/>
        </w:rPr>
        <w:t>ِّ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ب الرسول صلى الله عليه وسلم أو ي</w:t>
      </w:r>
      <w:r>
        <w:rPr>
          <w:rFonts w:ascii="Traditional Arabic" w:hAnsi="Traditional Arabic" w:cs="Traditional Arabic" w:hint="cs"/>
          <w:sz w:val="32"/>
          <w:szCs w:val="32"/>
          <w:rtl/>
        </w:rPr>
        <w:t>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كذ</w:t>
      </w:r>
      <w:r>
        <w:rPr>
          <w:rFonts w:ascii="Traditional Arabic" w:hAnsi="Traditional Arabic" w:cs="Traditional Arabic" w:hint="cs"/>
          <w:sz w:val="32"/>
          <w:szCs w:val="32"/>
          <w:rtl/>
        </w:rPr>
        <w:t>ِّ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ب بالبعث بعد الموت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يعتقد صحة دين الكفار من اليهود والنصارى والبوذيين وغيرهم أو يُنكر وجوب الصلوات الخمس أو يكره شيئًا من دين الله وإن عمل به، </w:t>
      </w:r>
      <w:r w:rsidR="00A8241E">
        <w:rPr>
          <w:rFonts w:ascii="Traditional Arabic" w:hAnsi="Traditional Arabic" w:cs="Traditional Arabic" w:hint="cs"/>
          <w:sz w:val="32"/>
          <w:szCs w:val="32"/>
          <w:rtl/>
        </w:rPr>
        <w:t xml:space="preserve">أو يعتقد عدم وجوب الحكم بما أنزل الله،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ومن الأدلة عليه قوله سبحانه: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كَفَرَ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بَعْدِ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إِيمَانِهِ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إِلَّا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أُكْرِهَ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وَقَلْبُهُ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مُطْمَئِنٌّ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بِالْإِيمَانِ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وَلَكِنْ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شَرَحَ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بِالْكُفْرِ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صَدْرًا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فَعَلَيْهِمْ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غَضَبٌ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عَذَابٌ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عَظِيمٌ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*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ذَلِكَ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بِأَنَّهُمُ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اسْتَحَبُّوا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الْحَيَاةَ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الدُّنْيَا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عَلَى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الْآخِرَةِ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وَأَنَّ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يَهْدِي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الْقَوْمَ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الْكَافِرِينَ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النحل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106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107]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وقوله عز وجل: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ذَلِكَ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بِأَنَّهُمْ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كَرِهُوا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أَنْزَلَ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فَأَحْبَطَ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أَعْمَالَهُمْ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محمد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9]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7428E5">
        <w:rPr>
          <w:rFonts w:ascii="Traditional Arabic" w:hAnsi="Traditional Arabic" w:cs="Traditional Arabic"/>
          <w:b/>
          <w:bCs/>
          <w:sz w:val="32"/>
          <w:szCs w:val="32"/>
          <w:rtl/>
        </w:rPr>
        <w:t>مثال الردة بالشك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أن يشك في وجود الخالق أو صحة القرآن أو صدق النبي صلى الله عليه وسلم</w:t>
      </w:r>
      <w:r>
        <w:rPr>
          <w:rFonts w:ascii="Traditional Arabic" w:hAnsi="Traditional Arabic" w:cs="Traditional Arabic"/>
          <w:sz w:val="32"/>
          <w:szCs w:val="32"/>
          <w:rtl/>
        </w:rPr>
        <w:t xml:space="preserve"> أو يشك في البعث بعد الموت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ومن الأدلة عليه قوله سبحانه حاكيًا قول صاحب البستانين حين شك في قيام الساعة: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وَمَا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أَظُنُّ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السَّاعَةَ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قَائِمَةً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وَلَئِنْ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رُدِدْتُ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إِلَى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رَبِّي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لَأَجِدَنَّ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خَيْرًا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مِنْهَا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مُنْقَلَبًا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*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قَالَ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لَهُ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صَاحِبُهُ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وَهُوَ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يُحَاوِرُهُ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أَكَفَرْتَ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بِالَّذِي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خَلَقَكَ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تُرَابٍ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نُطْفَةٍ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ثُمَّ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سَوَّاكَ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رَجُلًا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الكهف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36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37]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وقال عز وجل: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إِنَّهُمْ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كَانُوا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شَكٍّ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مُرِيبٍ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سبأ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54]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8550F" w:rsidRPr="00B8550F" w:rsidRDefault="00B8550F" w:rsidP="00A8241E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7428E5">
        <w:rPr>
          <w:rFonts w:ascii="Traditional Arabic" w:hAnsi="Traditional Arabic" w:cs="Traditional Arabic"/>
          <w:b/>
          <w:bCs/>
          <w:sz w:val="32"/>
          <w:szCs w:val="32"/>
          <w:rtl/>
        </w:rPr>
        <w:t>مثال الردة بالقول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أن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يشرك بالله بدعاء غيره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أو يستهزئ بالله ورسوله وآياته أو يسب الله ورسوله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أو يحلل شيئ</w:t>
      </w:r>
      <w:r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 محرم</w:t>
      </w:r>
      <w:r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 بالنص والإجماع أو يحرم شيئ</w:t>
      </w:r>
      <w:r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 حلال</w:t>
      </w:r>
      <w:r>
        <w:rPr>
          <w:rFonts w:ascii="Traditional Arabic" w:hAnsi="Traditional Arabic" w:cs="Traditional Arabic" w:hint="cs"/>
          <w:sz w:val="32"/>
          <w:szCs w:val="32"/>
          <w:rtl/>
        </w:rPr>
        <w:t>ً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 بالنص والإجماع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حتى لو كان إنكاره بقوله عنادًا أو استهزاءً مع تصديقه بالحق، ومن الأدلة عليه قوله تعالى: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أَفَغَيْرَ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تَأْمُرُونِّي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أَعْبُدُ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أَيُّهَا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الْجَاهِلُونَ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8241E">
        <w:rPr>
          <w:rFonts w:ascii="Traditional Arabic" w:hAnsi="Traditional Arabic" w:cs="Traditional Arabic" w:hint="cs"/>
          <w:sz w:val="32"/>
          <w:szCs w:val="32"/>
          <w:rtl/>
        </w:rPr>
        <w:t>*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وَلَقَدْ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أُوحِيَ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إِلَيْكَ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وَإِلَى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قَبْلِكَ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لَئِنْ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أَشْرَكْتَ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لَيَحْبَطَنَّ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عَمَلُكَ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وَلَتَكُونَنَّ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الْخَاسِرِينَ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*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بَلِ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فَاعْبُدْ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وَكُنْ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الشَّاكِرِينَ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الزمر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64 - 66]</w:t>
      </w:r>
      <w:r>
        <w:rPr>
          <w:rFonts w:ascii="Traditional Arabic" w:hAnsi="Traditional Arabic" w:cs="Traditional Arabic" w:hint="cs"/>
          <w:sz w:val="32"/>
          <w:szCs w:val="32"/>
          <w:rtl/>
        </w:rPr>
        <w:t>، وقوله عز وجل: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وَلَئِنْ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سَأَلْتَهُمْ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لَيَقُولُنَّ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إِنَّمَا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كُنَّا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نَخُوضُ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وَنَلْعَبُ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قُلْ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أَبِاللَّهِ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وَآيَاتِهِ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وَرَسُولِهِ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كُنْتُمْ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تَسْتَهْزِئُونَ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*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تَعْتَذِرُوا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قَدْ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كَفَرْتُمْ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بَعْدَ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إِيمَانِكُمْ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التوبة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65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66]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وقوله سبحانه: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يَحْلِفُونَ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قَالُوا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وَلَقَدْ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قَالُوا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كَلِمَةَ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الْكُفْرِ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وَكَفَرُوا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بَعْدَ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إِسْلَامِهِمْ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التوبة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74]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وقوله تبارك وتعالى: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وَجَحَدُوا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وَاسْتَيْقَنَتْهَا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أَنْفُسُهُمْ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ظُلْمًا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وَعُلُوًّا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النمل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14]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7428E5">
        <w:rPr>
          <w:rFonts w:ascii="Traditional Arabic" w:hAnsi="Traditional Arabic" w:cs="Traditional Arabic"/>
          <w:b/>
          <w:bCs/>
          <w:sz w:val="32"/>
          <w:szCs w:val="32"/>
          <w:rtl/>
        </w:rPr>
        <w:lastRenderedPageBreak/>
        <w:t>مثال الردة بالفعل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أن يلقي المصحف في القاذورات أو يسجد لصنم أو يستعمل السحر باستخدام الشياطين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يجلس مع الذين يخوضون في آيات الله بالكفر والاستهزاء مع عدم الإنكار عليهم، ومن الأدلة عليه قوله سبحانه: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{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وَقَدْ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نَزَّلَ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عَلَيْكُمْ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الْكِتَابِ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أَنْ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إِذَا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سَمِعْتُمْ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آيَاتِ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يُكْفَرُ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وَيُسْتَهْزَأُ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بِهَا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فَلَا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تَقْعُدُوا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مَعَهُمْ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حَتَّى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يَخُوضُوا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حَدِيثٍ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غَيْرِهِ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إِنَّكُمْ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إِذًا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مِثْلُهُمْ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إِنَّ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جَامِعُ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الْمُنَافِقِينَ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وَالْكَافِرِينَ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جَهَنَّمَ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جَمِيعًا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} [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النساء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140]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r w:rsidRPr="007428E5">
        <w:rPr>
          <w:rFonts w:ascii="Traditional Arabic" w:hAnsi="Traditional Arabic" w:cs="Traditional Arabic"/>
          <w:b/>
          <w:bCs/>
          <w:sz w:val="32"/>
          <w:szCs w:val="32"/>
          <w:rtl/>
        </w:rPr>
        <w:t>مثال الردة بالترك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bookmarkEnd w:id="0"/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أن يمتنع عن الصلاة، حتى وإن كان مصدقا بالله واليوم الآخر، كما امتنع إبليس عن امتثال </w:t>
      </w:r>
      <w:r>
        <w:rPr>
          <w:rFonts w:ascii="Traditional Arabic" w:hAnsi="Traditional Arabic" w:cs="Traditional Arabic" w:hint="cs"/>
          <w:sz w:val="32"/>
          <w:szCs w:val="32"/>
          <w:rtl/>
        </w:rPr>
        <w:t>أ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مر الله بالسجود لآدم فكفر، وفي الحديث الصحيح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عن بريدة رضي الله عنه أن النبي صلى الله عليه وآله وسلم قال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 ((العهد الذي بيننا وبينهم الصلاة، فمن تركها فقد كفر))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رواه الترمذي (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2621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يُنظر: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التشريع الجنائي الإسلامي مقارنا بالقانون الوضعي لعبد القادر عود</w:t>
      </w:r>
      <w:r>
        <w:rPr>
          <w:rFonts w:ascii="Traditional Arabic" w:hAnsi="Traditional Arabic" w:cs="Traditional Arabic" w:hint="cs"/>
          <w:sz w:val="32"/>
          <w:szCs w:val="32"/>
          <w:rtl/>
        </w:rPr>
        <w:t>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(2/ 707، 708)،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العقيدة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الصحيحة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وما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يضادها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ونواقض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="00075975" w:rsidRPr="00B6324E">
        <w:rPr>
          <w:rFonts w:hint="cs"/>
          <w:rtl/>
        </w:rPr>
        <w:t xml:space="preserve"> </w:t>
      </w:r>
      <w:r w:rsidR="00075975">
        <w:rPr>
          <w:rFonts w:ascii="Traditional Arabic" w:hAnsi="Traditional Arabic" w:cs="Traditional Arabic" w:hint="cs"/>
          <w:sz w:val="32"/>
          <w:szCs w:val="32"/>
          <w:rtl/>
        </w:rPr>
        <w:t xml:space="preserve">لابن باز 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>(</w:t>
      </w:r>
      <w:r w:rsidR="00075975" w:rsidRPr="00B6324E">
        <w:rPr>
          <w:rFonts w:ascii="Traditional Arabic" w:hAnsi="Traditional Arabic" w:cs="Traditional Arabic" w:hint="cs"/>
          <w:sz w:val="32"/>
          <w:szCs w:val="32"/>
          <w:rtl/>
        </w:rPr>
        <w:t>ص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>: 3</w:t>
      </w:r>
      <w:r w:rsidR="00075975">
        <w:rPr>
          <w:rFonts w:ascii="Traditional Arabic" w:hAnsi="Traditional Arabic" w:cs="Traditional Arabic" w:hint="cs"/>
          <w:sz w:val="32"/>
          <w:szCs w:val="32"/>
          <w:rtl/>
        </w:rPr>
        <w:t>6 - 40</w:t>
      </w:r>
      <w:r w:rsidR="00075975" w:rsidRPr="00B6324E">
        <w:rPr>
          <w:rFonts w:ascii="Traditional Arabic" w:hAnsi="Traditional Arabic" w:cs="Traditional Arabic"/>
          <w:sz w:val="32"/>
          <w:szCs w:val="32"/>
          <w:rtl/>
        </w:rPr>
        <w:t>)</w:t>
      </w:r>
      <w:r w:rsidR="00075975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07597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الحدود والتعزيرات عند ابن القيم </w:t>
      </w:r>
      <w:r w:rsidR="00075975"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بكر أبو زيد (ص: 434)،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نواقض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الإيمان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الاعتقادية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للوهيبي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ص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23</w:t>
      </w:r>
      <w:r>
        <w:rPr>
          <w:rFonts w:ascii="Traditional Arabic" w:hAnsi="Traditional Arabic" w:cs="Traditional Arabic" w:hint="cs"/>
          <w:sz w:val="32"/>
          <w:szCs w:val="32"/>
          <w:rtl/>
        </w:rPr>
        <w:t>8 - 354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نواقض الإيمان القولية والعملية </w:t>
      </w:r>
      <w:r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عبد العزيز آل عبد اللطيف (ص: 49، 262)، موسوعة الإجماع في الفقه الإسلامي (10/ 501 - 502).</w:t>
      </w:r>
    </w:p>
    <w:p w:rsidR="00B8550F" w:rsidRPr="00B8550F" w:rsidRDefault="00B8550F" w:rsidP="00B8550F">
      <w:pPr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وللتوسع يُنظر: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الشريعة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للآجري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(1/ 55</w:t>
      </w:r>
      <w:r>
        <w:rPr>
          <w:rFonts w:ascii="Traditional Arabic" w:hAnsi="Traditional Arabic" w:cs="Traditional Arabic" w:hint="cs"/>
          <w:sz w:val="32"/>
          <w:szCs w:val="32"/>
          <w:rtl/>
        </w:rPr>
        <w:t>0 - 653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الإبانة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الكبرى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لابن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بطة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(2/ 76</w:t>
      </w:r>
      <w:r>
        <w:rPr>
          <w:rFonts w:ascii="Traditional Arabic" w:hAnsi="Traditional Arabic" w:cs="Traditional Arabic" w:hint="cs"/>
          <w:sz w:val="32"/>
          <w:szCs w:val="32"/>
          <w:rtl/>
        </w:rPr>
        <w:t>3 - 826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الشفا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بتعريف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حقوق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8550F">
        <w:rPr>
          <w:rFonts w:ascii="Traditional Arabic" w:hAnsi="Traditional Arabic" w:cs="Traditional Arabic" w:hint="cs"/>
          <w:sz w:val="32"/>
          <w:szCs w:val="32"/>
          <w:rtl/>
        </w:rPr>
        <w:t>المصطفى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للقاضي عياض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 xml:space="preserve"> (2/ 21</w:t>
      </w:r>
      <w:r>
        <w:rPr>
          <w:rFonts w:ascii="Traditional Arabic" w:hAnsi="Traditional Arabic" w:cs="Traditional Arabic" w:hint="cs"/>
          <w:sz w:val="32"/>
          <w:szCs w:val="32"/>
          <w:rtl/>
        </w:rPr>
        <w:t>1 - 304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تحفة الفقهاء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للسمرقندي الحنفي (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7 / 134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، حاشية الباجوري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الشافعي (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2 / 328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، شرح الخرشي المالكي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(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8 / 62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المغني لابن قدامة الحنبلي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(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8 / 540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8550F">
        <w:rPr>
          <w:rFonts w:ascii="Traditional Arabic" w:hAnsi="Traditional Arabic" w:cs="Traditional Arabic"/>
          <w:sz w:val="32"/>
          <w:szCs w:val="32"/>
          <w:rtl/>
        </w:rPr>
        <w:t>.</w:t>
      </w:r>
    </w:p>
    <w:sectPr w:rsidR="00B8550F" w:rsidRPr="00B8550F" w:rsidSect="000E51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DEE"/>
    <w:rsid w:val="00075975"/>
    <w:rsid w:val="000E512D"/>
    <w:rsid w:val="002E7DEE"/>
    <w:rsid w:val="007428E5"/>
    <w:rsid w:val="00A8241E"/>
    <w:rsid w:val="00B8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573</Words>
  <Characters>3271</Characters>
  <Application>Microsoft Office Word</Application>
  <DocSecurity>0</DocSecurity>
  <Lines>27</Lines>
  <Paragraphs>7</Paragraphs>
  <ScaleCrop>false</ScaleCrop>
  <Company>Enjoy My Fine Releases.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2O11</dc:creator>
  <cp:keywords/>
  <dc:description/>
  <cp:lastModifiedBy>DR.Ahmed Saker 2O11</cp:lastModifiedBy>
  <cp:revision>5</cp:revision>
  <dcterms:created xsi:type="dcterms:W3CDTF">2021-01-19T06:49:00Z</dcterms:created>
  <dcterms:modified xsi:type="dcterms:W3CDTF">2021-01-19T08:38:00Z</dcterms:modified>
</cp:coreProperties>
</file>